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8D0E9" w14:textId="405D5C0B" w:rsidR="00665C9A" w:rsidRPr="00665C9A" w:rsidRDefault="00FC4E8D" w:rsidP="00665C9A">
      <w:pPr>
        <w:pStyle w:val="CRCoverPage"/>
        <w:tabs>
          <w:tab w:val="left" w:pos="1701"/>
        </w:tabs>
        <w:outlineLvl w:val="0"/>
        <w:rPr>
          <w:rFonts w:eastAsiaTheme="minorEastAsia" w:cs="Arial"/>
          <w:b/>
          <w:noProof/>
          <w:sz w:val="22"/>
          <w:lang w:val="en-US"/>
        </w:rPr>
      </w:pPr>
      <w:r>
        <w:rPr>
          <w:rFonts w:eastAsiaTheme="minorEastAsia" w:cs="Arial"/>
          <w:b/>
          <w:noProof/>
          <w:sz w:val="22"/>
          <w:lang w:val="en-US"/>
        </w:rPr>
        <w:t>3GPP TSG RAN WG1 Meeting #94</w:t>
      </w:r>
      <w:r w:rsidR="00665C9A" w:rsidRPr="00665C9A">
        <w:rPr>
          <w:rFonts w:eastAsiaTheme="minorEastAsia" w:cs="Arial"/>
          <w:b/>
          <w:noProof/>
          <w:sz w:val="22"/>
          <w:lang w:val="en-US"/>
        </w:rPr>
        <w:t xml:space="preserve"> </w:t>
      </w:r>
      <w:r w:rsidR="00665C9A" w:rsidRPr="00665C9A">
        <w:rPr>
          <w:rFonts w:eastAsiaTheme="minorEastAsia" w:cs="Arial"/>
          <w:b/>
          <w:noProof/>
          <w:sz w:val="22"/>
          <w:lang w:val="en-US"/>
        </w:rPr>
        <w:tab/>
      </w:r>
      <w:r w:rsidR="00665C9A" w:rsidRPr="00665C9A">
        <w:rPr>
          <w:rFonts w:eastAsiaTheme="minorEastAsia" w:cs="Arial"/>
          <w:b/>
          <w:noProof/>
          <w:sz w:val="22"/>
          <w:lang w:val="en-US"/>
        </w:rPr>
        <w:tab/>
      </w:r>
      <w:r w:rsidR="00665C9A" w:rsidRP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Pr>
          <w:rFonts w:eastAsiaTheme="minorEastAsia" w:cs="Arial"/>
          <w:b/>
          <w:noProof/>
          <w:sz w:val="22"/>
          <w:lang w:val="en-US"/>
        </w:rPr>
        <w:tab/>
      </w:r>
      <w:r w:rsidR="00665C9A" w:rsidRPr="00665C9A">
        <w:rPr>
          <w:rFonts w:eastAsiaTheme="minorEastAsia" w:cs="Arial"/>
          <w:b/>
          <w:noProof/>
          <w:sz w:val="22"/>
          <w:lang w:val="en-US"/>
        </w:rPr>
        <w:t>R1-</w:t>
      </w:r>
      <w:r w:rsidR="0040288A" w:rsidRPr="0040288A">
        <w:rPr>
          <w:rFonts w:eastAsiaTheme="minorEastAsia" w:cs="Arial"/>
          <w:b/>
          <w:noProof/>
          <w:sz w:val="22"/>
          <w:lang w:val="en-US"/>
        </w:rPr>
        <w:t>1808814</w:t>
      </w:r>
    </w:p>
    <w:p w14:paraId="3F6AAF48" w14:textId="3465BFBE" w:rsidR="00665C9A" w:rsidRDefault="00FC4E8D" w:rsidP="00665C9A">
      <w:pPr>
        <w:pStyle w:val="CRCoverPage"/>
        <w:tabs>
          <w:tab w:val="left" w:pos="1701"/>
        </w:tabs>
        <w:outlineLvl w:val="0"/>
        <w:rPr>
          <w:rFonts w:eastAsiaTheme="minorEastAsia" w:cs="Arial"/>
          <w:b/>
          <w:noProof/>
          <w:sz w:val="22"/>
          <w:lang w:val="en-US"/>
        </w:rPr>
      </w:pPr>
      <w:r w:rsidRPr="00FC4E8D">
        <w:rPr>
          <w:rFonts w:eastAsiaTheme="minorEastAsia" w:cs="Arial"/>
          <w:b/>
          <w:noProof/>
          <w:sz w:val="22"/>
          <w:lang w:val="en-US"/>
        </w:rPr>
        <w:t>Gothenburg, Sweden, August 20th – 24th, 2018</w:t>
      </w:r>
      <w:bookmarkStart w:id="0" w:name="_GoBack"/>
      <w:bookmarkEnd w:id="0"/>
    </w:p>
    <w:p w14:paraId="435A17AC" w14:textId="48640042" w:rsidR="00AF7772" w:rsidRPr="00FD27FA" w:rsidRDefault="00AF7772" w:rsidP="00665C9A">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5B0B21"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A15E75">
        <w:rPr>
          <w:rFonts w:cs="Arial"/>
          <w:b/>
          <w:lang w:eastAsia="ko-KR"/>
        </w:rPr>
        <w:t>Discussion on NR V2X sidelink synchronization</w:t>
      </w:r>
    </w:p>
    <w:p w14:paraId="3EA48139" w14:textId="36429AD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4.1.3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554725C7" w14:textId="7E53FBF2" w:rsidR="00277863" w:rsidRDefault="000F348F" w:rsidP="00277863">
      <w:pPr>
        <w:spacing w:after="180"/>
        <w:rPr>
          <w:szCs w:val="22"/>
          <w:lang w:eastAsia="ko-KR"/>
        </w:rPr>
      </w:pPr>
      <w:r>
        <w:rPr>
          <w:szCs w:val="22"/>
          <w:lang w:eastAsia="ko-KR"/>
        </w:rPr>
        <w:t>The NR V2X study item (SI) was approved</w:t>
      </w:r>
      <w:r w:rsidR="00277863">
        <w:rPr>
          <w:szCs w:val="22"/>
          <w:lang w:eastAsia="ko-KR"/>
        </w:rPr>
        <w:t xml:space="preserve"> </w:t>
      </w:r>
      <w:r>
        <w:rPr>
          <w:szCs w:val="22"/>
          <w:lang w:eastAsia="ko-KR"/>
        </w:rPr>
        <w:t>in the 3GPP RAN#8</w:t>
      </w:r>
      <w:r w:rsidR="006F6307">
        <w:rPr>
          <w:szCs w:val="22"/>
          <w:lang w:eastAsia="ko-KR"/>
        </w:rPr>
        <w:t>0</w:t>
      </w:r>
      <w:r w:rsidR="00277863">
        <w:rPr>
          <w:szCs w:val="22"/>
          <w:lang w:eastAsia="ko-KR"/>
        </w:rPr>
        <w:t xml:space="preserve"> meeting </w:t>
      </w:r>
      <w:r w:rsidR="00277863" w:rsidRPr="00910BD4">
        <w:rPr>
          <w:szCs w:val="22"/>
          <w:lang w:eastAsia="ko-KR"/>
        </w:rPr>
        <w:fldChar w:fldCharType="begin"/>
      </w:r>
      <w:r w:rsidR="00277863" w:rsidRPr="00910BD4">
        <w:rPr>
          <w:szCs w:val="22"/>
          <w:lang w:eastAsia="ko-KR"/>
        </w:rPr>
        <w:instrText xml:space="preserve"> REF _Ref458777829 \n \h </w:instrText>
      </w:r>
      <w:r w:rsidR="00277863">
        <w:rPr>
          <w:szCs w:val="22"/>
          <w:lang w:eastAsia="ko-KR"/>
        </w:rPr>
        <w:instrText xml:space="preserve"> \* MERGEFORMAT </w:instrText>
      </w:r>
      <w:r w:rsidR="00277863" w:rsidRPr="00910BD4">
        <w:rPr>
          <w:szCs w:val="22"/>
          <w:lang w:eastAsia="ko-KR"/>
        </w:rPr>
      </w:r>
      <w:r w:rsidR="00277863" w:rsidRPr="00910BD4">
        <w:rPr>
          <w:szCs w:val="22"/>
          <w:lang w:eastAsia="ko-KR"/>
        </w:rPr>
        <w:fldChar w:fldCharType="separate"/>
      </w:r>
      <w:r w:rsidR="0008727F">
        <w:rPr>
          <w:szCs w:val="22"/>
          <w:lang w:eastAsia="ko-KR"/>
        </w:rPr>
        <w:t>[1]</w:t>
      </w:r>
      <w:r w:rsidR="00277863" w:rsidRPr="00910BD4">
        <w:rPr>
          <w:szCs w:val="22"/>
          <w:lang w:eastAsia="ko-KR"/>
        </w:rPr>
        <w:fldChar w:fldCharType="end"/>
      </w:r>
      <w:r>
        <w:rPr>
          <w:szCs w:val="22"/>
          <w:lang w:eastAsia="ko-KR"/>
        </w:rPr>
        <w:t>. The</w:t>
      </w:r>
      <w:r w:rsidRPr="000F348F">
        <w:rPr>
          <w:szCs w:val="22"/>
          <w:lang w:eastAsia="ko-KR"/>
        </w:rPr>
        <w:t xml:space="preserve"> study item targets standardization of 5G NR in the area of vehicle applications. Identified use cases are vehicles platooning, extended sensors, advanced driving, and remote driving, and so on. </w:t>
      </w:r>
      <w:r w:rsidR="00585659">
        <w:rPr>
          <w:szCs w:val="22"/>
          <w:lang w:eastAsia="ko-KR"/>
        </w:rPr>
        <w:t>The c</w:t>
      </w:r>
      <w:r w:rsidRPr="000F348F">
        <w:rPr>
          <w:szCs w:val="22"/>
          <w:lang w:eastAsia="ko-KR"/>
        </w:rPr>
        <w:t>orr</w:t>
      </w:r>
      <w:r w:rsidR="00585659">
        <w:rPr>
          <w:szCs w:val="22"/>
          <w:lang w:eastAsia="ko-KR"/>
        </w:rPr>
        <w:t>esponding SI objectives include</w:t>
      </w:r>
      <w:r w:rsidRPr="000F348F">
        <w:rPr>
          <w:szCs w:val="22"/>
          <w:lang w:eastAsia="ko-KR"/>
        </w:rPr>
        <w:t xml:space="preserve"> sidelink design, Uu enhancements for advanced V2X use cases, Uu-based sidelink resource alloca-tion/configuration, RAT/Interface selection for operation, QoS management, and </w:t>
      </w:r>
      <w:r w:rsidR="00585659">
        <w:rPr>
          <w:szCs w:val="22"/>
          <w:lang w:eastAsia="ko-KR"/>
        </w:rPr>
        <w:t>c</w:t>
      </w:r>
      <w:r w:rsidRPr="000F348F">
        <w:rPr>
          <w:szCs w:val="22"/>
          <w:lang w:eastAsia="ko-KR"/>
        </w:rPr>
        <w:t>o-existence.</w:t>
      </w:r>
      <w:r>
        <w:rPr>
          <w:szCs w:val="22"/>
          <w:lang w:eastAsia="ko-KR"/>
        </w:rPr>
        <w:t xml:space="preserve"> Among the above objectives, sidelink design is of significant importance in that it is the first sidelink design effort in NR and it </w:t>
      </w:r>
      <w:r w:rsidR="008002BE">
        <w:rPr>
          <w:szCs w:val="22"/>
          <w:lang w:eastAsia="ko-KR"/>
        </w:rPr>
        <w:t xml:space="preserve">is the main enabler for the efficient V2V communication. Among the several sidelink design issues, sidelink synchronization </w:t>
      </w:r>
      <w:r w:rsidR="0013048D">
        <w:rPr>
          <w:szCs w:val="22"/>
          <w:lang w:eastAsia="ko-KR"/>
        </w:rPr>
        <w:t>procedure is the part of initial access operation and has some urgency over others.</w:t>
      </w:r>
    </w:p>
    <w:p w14:paraId="37B81B29" w14:textId="5B46ACBC" w:rsidR="00267D68" w:rsidRDefault="00911BB5" w:rsidP="006F6307">
      <w:pPr>
        <w:spacing w:before="100" w:beforeAutospacing="1" w:after="180"/>
        <w:rPr>
          <w:szCs w:val="22"/>
          <w:lang w:eastAsia="ko-KR"/>
        </w:rPr>
      </w:pPr>
      <w:r>
        <w:rPr>
          <w:szCs w:val="22"/>
          <w:lang w:eastAsia="ko-KR"/>
        </w:rPr>
        <w:t>Hence, 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V2X sidelink synchronization</w:t>
      </w:r>
      <w:r w:rsidR="00523F3C">
        <w:rPr>
          <w:szCs w:val="22"/>
          <w:lang w:eastAsia="ko-KR"/>
        </w:rPr>
        <w:t xml:space="preserve"> mechanism</w:t>
      </w:r>
      <w:r w:rsidR="00F91248">
        <w:rPr>
          <w:szCs w:val="22"/>
          <w:lang w:eastAsia="ko-KR"/>
        </w:rPr>
        <w:t xml:space="preserve">.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34139B19" w:rsidR="00DA4774" w:rsidRDefault="006A534C" w:rsidP="00DA4774">
      <w:pPr>
        <w:pStyle w:val="2"/>
        <w:keepLines/>
        <w:overflowPunct w:val="0"/>
        <w:autoSpaceDE w:val="0"/>
        <w:autoSpaceDN w:val="0"/>
        <w:adjustRightInd w:val="0"/>
        <w:spacing w:before="180" w:after="180" w:line="240" w:lineRule="auto"/>
        <w:jc w:val="left"/>
        <w:textAlignment w:val="baseline"/>
        <w:rPr>
          <w:lang w:val="en-US" w:eastAsia="ko-KR"/>
        </w:rPr>
      </w:pPr>
      <w:r>
        <w:rPr>
          <w:lang w:val="en-US" w:eastAsia="ko-KR"/>
        </w:rPr>
        <w:t>Review of LTE sidelink synchronization</w:t>
      </w:r>
    </w:p>
    <w:p w14:paraId="2722BBF1" w14:textId="70E7CCA1" w:rsidR="00546F6E" w:rsidRDefault="00F878A5" w:rsidP="001F0ECA">
      <w:pPr>
        <w:spacing w:after="100" w:afterAutospacing="1"/>
        <w:rPr>
          <w:lang w:val="en-US" w:eastAsia="ko-KR"/>
        </w:rPr>
      </w:pPr>
      <w:r>
        <w:rPr>
          <w:lang w:val="en-US" w:eastAsia="ko-KR"/>
        </w:rPr>
        <w:t>I</w:t>
      </w:r>
      <w:r>
        <w:rPr>
          <w:rFonts w:hint="eastAsia"/>
          <w:lang w:val="en-US" w:eastAsia="ko-KR"/>
        </w:rPr>
        <w:t xml:space="preserve">n </w:t>
      </w:r>
      <w:r>
        <w:rPr>
          <w:lang w:val="en-US" w:eastAsia="ko-KR"/>
        </w:rPr>
        <w:t xml:space="preserve">LTE, sidelink communication was first introduced for supporting device-to-device (D2D) connectivity in Rel-12. One of the important functionalities for the sidelink communication is the sidelink synchronization. Before establishing sidelink connectivity between UEs, synchronization </w:t>
      </w:r>
      <w:r w:rsidR="00515405">
        <w:rPr>
          <w:lang w:val="en-US" w:eastAsia="ko-KR"/>
        </w:rPr>
        <w:t xml:space="preserve">between these UEs </w:t>
      </w:r>
      <w:r>
        <w:rPr>
          <w:lang w:val="en-US" w:eastAsia="ko-KR"/>
        </w:rPr>
        <w:t xml:space="preserve">should be done in advance. </w:t>
      </w:r>
      <w:r w:rsidR="00546F6E">
        <w:rPr>
          <w:lang w:val="en-US" w:eastAsia="ko-KR"/>
        </w:rPr>
        <w:t xml:space="preserve">If a UE is within a coverage area of a specific cell, it can obtain timing reference from the gNodeB by detecting the synchronization signals, i.e., PSS and SSS. </w:t>
      </w:r>
      <w:r w:rsidR="00CE5FBE">
        <w:rPr>
          <w:lang w:val="en-US" w:eastAsia="ko-KR"/>
        </w:rPr>
        <w:t xml:space="preserve">However, for a UE which is not in any network coverage area, it will not be possible to obtain timing reference from the gNodeB. </w:t>
      </w:r>
      <w:r w:rsidR="00551FF5">
        <w:rPr>
          <w:lang w:val="en-US" w:eastAsia="ko-KR"/>
        </w:rPr>
        <w:t>In order to handle this problem</w:t>
      </w:r>
      <w:r w:rsidR="00F13379">
        <w:rPr>
          <w:lang w:val="en-US" w:eastAsia="ko-KR"/>
        </w:rPr>
        <w:t xml:space="preserve">, </w:t>
      </w:r>
      <w:r w:rsidR="001D1614">
        <w:rPr>
          <w:lang w:val="en-US" w:eastAsia="ko-KR"/>
        </w:rPr>
        <w:t xml:space="preserve">as seen in </w:t>
      </w:r>
      <w:r w:rsidR="001D1614">
        <w:rPr>
          <w:lang w:val="en-US" w:eastAsia="ko-KR"/>
        </w:rPr>
        <w:fldChar w:fldCharType="begin"/>
      </w:r>
      <w:r w:rsidR="001D1614">
        <w:rPr>
          <w:lang w:val="en-US" w:eastAsia="ko-KR"/>
        </w:rPr>
        <w:instrText xml:space="preserve"> REF _Ref521192853 \h </w:instrText>
      </w:r>
      <w:r w:rsidR="001D1614">
        <w:rPr>
          <w:lang w:val="en-US" w:eastAsia="ko-KR"/>
        </w:rPr>
      </w:r>
      <w:r w:rsidR="001D1614">
        <w:rPr>
          <w:lang w:val="en-US" w:eastAsia="ko-KR"/>
        </w:rPr>
        <w:fldChar w:fldCharType="separate"/>
      </w:r>
      <w:r w:rsidR="001D1614">
        <w:t xml:space="preserve">Figure </w:t>
      </w:r>
      <w:r w:rsidR="001D1614">
        <w:rPr>
          <w:noProof/>
        </w:rPr>
        <w:t>1</w:t>
      </w:r>
      <w:r w:rsidR="001D1614">
        <w:rPr>
          <w:lang w:val="en-US" w:eastAsia="ko-KR"/>
        </w:rPr>
        <w:fldChar w:fldCharType="end"/>
      </w:r>
      <w:r w:rsidR="001D1614">
        <w:rPr>
          <w:lang w:val="en-US" w:eastAsia="ko-KR"/>
        </w:rPr>
        <w:t xml:space="preserve">, </w:t>
      </w:r>
      <w:r w:rsidR="00F13379">
        <w:rPr>
          <w:lang w:val="en-US" w:eastAsia="ko-KR"/>
        </w:rPr>
        <w:t xml:space="preserve">the LTE D2D </w:t>
      </w:r>
      <w:r w:rsidR="00551FF5">
        <w:rPr>
          <w:lang w:val="en-US" w:eastAsia="ko-KR"/>
        </w:rPr>
        <w:t xml:space="preserve">specified a sidelink synchronization mechanism which utilizes a kind of synchronization signals a UE can broadcast, namely </w:t>
      </w:r>
      <w:r w:rsidR="008229B4">
        <w:rPr>
          <w:lang w:val="en-US" w:eastAsia="ko-KR"/>
        </w:rPr>
        <w:t>sidelink synchronization signals (SLSSs).</w:t>
      </w:r>
      <w:r w:rsidR="00402732">
        <w:rPr>
          <w:lang w:val="en-US" w:eastAsia="ko-KR"/>
        </w:rPr>
        <w:t xml:space="preserve"> A SLSS consists of a primary SLSS (PSLSS) and a secondary SLSS (SSLSS).</w:t>
      </w:r>
      <w:r w:rsidR="00380E8B">
        <w:rPr>
          <w:lang w:val="en-US" w:eastAsia="ko-KR"/>
        </w:rPr>
        <w:t xml:space="preserve"> The PSLSS and SSLSS can be transmitted by an in-coverage UE already synchronized with the gNodeB and can be received by an out-of-coverage UE, thereby enabling the out-of-coverage</w:t>
      </w:r>
      <w:r w:rsidR="00634315">
        <w:rPr>
          <w:lang w:val="en-US" w:eastAsia="ko-KR"/>
        </w:rPr>
        <w:t xml:space="preserve"> UE</w:t>
      </w:r>
      <w:r w:rsidR="00380E8B">
        <w:rPr>
          <w:lang w:val="en-US" w:eastAsia="ko-KR"/>
        </w:rPr>
        <w:t xml:space="preserve"> to obtain the timing reference with the network.</w:t>
      </w:r>
      <w:r w:rsidR="00756864">
        <w:rPr>
          <w:lang w:val="en-US" w:eastAsia="ko-KR"/>
        </w:rPr>
        <w:t xml:space="preserve"> If there is no UE which in coverage in an area due to, for example, geographical isolation, the SLSS can be transmitted and received among the out-of-coverage UEs, achieving local synchronization among them.</w:t>
      </w:r>
    </w:p>
    <w:p w14:paraId="2D064839" w14:textId="77777777" w:rsidR="001D1614" w:rsidRDefault="001D1614" w:rsidP="001D1614">
      <w:pPr>
        <w:keepNext/>
        <w:spacing w:after="100" w:afterAutospacing="1"/>
        <w:jc w:val="center"/>
      </w:pPr>
      <w:r>
        <w:object w:dxaOrig="8461" w:dyaOrig="4005" w14:anchorId="68B0E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00.4pt" o:ole="">
            <v:imagedata r:id="rId8" o:title=""/>
          </v:shape>
          <o:OLEObject Type="Embed" ProgID="Visio.Drawing.15" ShapeID="_x0000_i1025" DrawAspect="Content" ObjectID="_1595420453" r:id="rId9"/>
        </w:object>
      </w:r>
    </w:p>
    <w:p w14:paraId="542CF191" w14:textId="3A0D5944" w:rsidR="001D1614" w:rsidRDefault="001D1614" w:rsidP="001D1614">
      <w:pPr>
        <w:pStyle w:val="ad"/>
        <w:jc w:val="center"/>
        <w:rPr>
          <w:lang w:val="en-US" w:eastAsia="ko-KR"/>
        </w:rPr>
      </w:pPr>
      <w:bookmarkStart w:id="2" w:name="_Ref521192853"/>
      <w:r>
        <w:t xml:space="preserve">Figure </w:t>
      </w:r>
      <w:r>
        <w:fldChar w:fldCharType="begin"/>
      </w:r>
      <w:r>
        <w:instrText xml:space="preserve"> SEQ Figure \* ARABIC </w:instrText>
      </w:r>
      <w:r>
        <w:fldChar w:fldCharType="separate"/>
      </w:r>
      <w:r w:rsidR="00CF0A01">
        <w:rPr>
          <w:noProof/>
        </w:rPr>
        <w:t>1</w:t>
      </w:r>
      <w:r>
        <w:fldChar w:fldCharType="end"/>
      </w:r>
      <w:bookmarkEnd w:id="2"/>
      <w:r>
        <w:t>. Concept of sidelink synchronization in LTE D2D</w:t>
      </w:r>
    </w:p>
    <w:p w14:paraId="538B2F45" w14:textId="156FFC13" w:rsidR="000104D1" w:rsidRDefault="000104D1" w:rsidP="001F0ECA">
      <w:pPr>
        <w:spacing w:after="100" w:afterAutospacing="1"/>
        <w:rPr>
          <w:lang w:val="en-US" w:eastAsia="ko-KR"/>
        </w:rPr>
      </w:pPr>
      <w:r>
        <w:rPr>
          <w:lang w:val="en-US" w:eastAsia="ko-KR"/>
        </w:rPr>
        <w:t xml:space="preserve">In addition to synchronization signals, a broadcast channel is also defined for sidelink transmission, namely physical sidelink broadcast channel (PSBCH). It delivers an in-coverage indicator </w:t>
      </w:r>
      <w:r w:rsidR="00D13766">
        <w:rPr>
          <w:lang w:val="en-US" w:eastAsia="ko-KR"/>
        </w:rPr>
        <w:t>representing whether the UE transmitting this PSLSS/SSLSS/PSBCH is in coverage or not as well as sidelink bandwidth, frame and subframe number, and TDD configuration.</w:t>
      </w:r>
    </w:p>
    <w:p w14:paraId="70979BB7" w14:textId="6AE77BEF" w:rsidR="001F0ECA" w:rsidRPr="001F0ECA" w:rsidRDefault="00756864" w:rsidP="001F0ECA">
      <w:pPr>
        <w:spacing w:after="180" w:line="336" w:lineRule="auto"/>
        <w:rPr>
          <w:lang w:eastAsia="ko-KR"/>
        </w:rPr>
      </w:pPr>
      <w:r>
        <w:rPr>
          <w:b/>
          <w:lang w:eastAsia="ko-KR"/>
        </w:rPr>
        <w:t>Observation</w:t>
      </w:r>
      <w:r w:rsidR="001F0ECA">
        <w:rPr>
          <w:b/>
          <w:lang w:eastAsia="ko-KR"/>
        </w:rPr>
        <w:t xml:space="preserve"> </w:t>
      </w:r>
      <w:r w:rsidR="001F0ECA">
        <w:rPr>
          <w:rFonts w:hint="eastAsia"/>
          <w:b/>
          <w:lang w:eastAsia="ko-KR"/>
        </w:rPr>
        <w:t>1</w:t>
      </w:r>
      <w:r w:rsidR="001F0ECA" w:rsidRPr="0021114B">
        <w:rPr>
          <w:lang w:eastAsia="ko-KR"/>
        </w:rPr>
        <w:t>:</w:t>
      </w:r>
      <w:r w:rsidR="001F0ECA">
        <w:rPr>
          <w:b/>
          <w:lang w:eastAsia="ko-KR"/>
        </w:rPr>
        <w:t xml:space="preserve"> </w:t>
      </w:r>
      <w:r w:rsidR="000F57A5">
        <w:rPr>
          <w:lang w:eastAsia="ko-KR"/>
        </w:rPr>
        <w:t>In LTE, the sidelink synchronization mechanism utilizes sidelink synchronization signals of PSLSS and SSLSS and sidelink broadcast channel of PSBCH.</w:t>
      </w:r>
    </w:p>
    <w:p w14:paraId="57557970" w14:textId="3AB32D52" w:rsidR="00D769BE" w:rsidRDefault="006A534C"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NR downlink synchroniza</w:t>
      </w:r>
      <w:r w:rsidR="003D4F7C">
        <w:rPr>
          <w:lang w:val="en-US"/>
        </w:rPr>
        <w:t>t</w:t>
      </w:r>
      <w:r>
        <w:rPr>
          <w:lang w:val="en-US"/>
        </w:rPr>
        <w:t>ion</w:t>
      </w:r>
    </w:p>
    <w:p w14:paraId="6AC1E407" w14:textId="3775A792" w:rsidR="00B879D4" w:rsidRDefault="00D7299C" w:rsidP="005E2313">
      <w:pPr>
        <w:spacing w:after="100" w:afterAutospacing="1"/>
        <w:rPr>
          <w:lang w:val="en-US" w:eastAsia="ko-KR"/>
        </w:rPr>
      </w:pPr>
      <w:r>
        <w:rPr>
          <w:lang w:val="en-US" w:eastAsia="ko-KR"/>
        </w:rPr>
        <w:t>I</w:t>
      </w:r>
      <w:r>
        <w:rPr>
          <w:rFonts w:hint="eastAsia"/>
          <w:lang w:val="en-US" w:eastAsia="ko-KR"/>
        </w:rPr>
        <w:t xml:space="preserve">n </w:t>
      </w:r>
      <w:r>
        <w:rPr>
          <w:lang w:val="en-US" w:eastAsia="ko-KR"/>
        </w:rPr>
        <w:t>order to support multi-beam operation especially for high frequency bands such as mmWave bands, NR introduced a method of repetitive transmission of</w:t>
      </w:r>
      <w:r w:rsidR="004814D3">
        <w:rPr>
          <w:lang w:val="en-US" w:eastAsia="ko-KR"/>
        </w:rPr>
        <w:t xml:space="preserve"> synchronization signal</w:t>
      </w:r>
      <w:r>
        <w:rPr>
          <w:lang w:val="en-US" w:eastAsia="ko-KR"/>
        </w:rPr>
        <w:t xml:space="preserve"> </w:t>
      </w:r>
      <w:r w:rsidR="004814D3">
        <w:rPr>
          <w:lang w:val="en-US" w:eastAsia="ko-KR"/>
        </w:rPr>
        <w:t>(</w:t>
      </w:r>
      <w:r>
        <w:rPr>
          <w:lang w:val="en-US" w:eastAsia="ko-KR"/>
        </w:rPr>
        <w:t>SS</w:t>
      </w:r>
      <w:r w:rsidR="004814D3">
        <w:rPr>
          <w:lang w:val="en-US" w:eastAsia="ko-KR"/>
        </w:rPr>
        <w:t>)</w:t>
      </w:r>
      <w:r>
        <w:rPr>
          <w:lang w:val="en-US" w:eastAsia="ko-KR"/>
        </w:rPr>
        <w:t xml:space="preserve"> blocks. Each SS block consists of PSS, SSS, and PBCH, and may correspond to a physical beam of a gNodeB</w:t>
      </w:r>
      <w:r w:rsidR="00C609B7">
        <w:rPr>
          <w:lang w:val="en-US" w:eastAsia="ko-KR"/>
        </w:rPr>
        <w:t xml:space="preserve">, as seen in </w:t>
      </w:r>
      <w:r w:rsidR="00C609B7">
        <w:rPr>
          <w:lang w:val="en-US" w:eastAsia="ko-KR"/>
        </w:rPr>
        <w:fldChar w:fldCharType="begin"/>
      </w:r>
      <w:r w:rsidR="00C609B7">
        <w:rPr>
          <w:lang w:val="en-US" w:eastAsia="ko-KR"/>
        </w:rPr>
        <w:instrText xml:space="preserve"> REF _Ref521195948 \h </w:instrText>
      </w:r>
      <w:r w:rsidR="00C609B7">
        <w:rPr>
          <w:lang w:val="en-US" w:eastAsia="ko-KR"/>
        </w:rPr>
      </w:r>
      <w:r w:rsidR="00C609B7">
        <w:rPr>
          <w:lang w:val="en-US" w:eastAsia="ko-KR"/>
        </w:rPr>
        <w:fldChar w:fldCharType="separate"/>
      </w:r>
      <w:r w:rsidR="00C609B7">
        <w:t xml:space="preserve">Figure </w:t>
      </w:r>
      <w:r w:rsidR="00C609B7">
        <w:rPr>
          <w:noProof/>
        </w:rPr>
        <w:t>2</w:t>
      </w:r>
      <w:r w:rsidR="00C609B7">
        <w:rPr>
          <w:lang w:val="en-US" w:eastAsia="ko-KR"/>
        </w:rPr>
        <w:fldChar w:fldCharType="end"/>
      </w:r>
      <w:r>
        <w:rPr>
          <w:lang w:val="en-US" w:eastAsia="ko-KR"/>
        </w:rPr>
        <w:t xml:space="preserve">. </w:t>
      </w:r>
      <w:r w:rsidR="001D1614">
        <w:rPr>
          <w:lang w:val="en-US" w:eastAsia="ko-KR"/>
        </w:rPr>
        <w:t>A collection of SS</w:t>
      </w:r>
      <w:r w:rsidR="00B63F66">
        <w:rPr>
          <w:lang w:val="en-US" w:eastAsia="ko-KR"/>
        </w:rPr>
        <w:t xml:space="preserve"> block</w:t>
      </w:r>
      <w:r w:rsidR="001D1614">
        <w:rPr>
          <w:lang w:val="en-US" w:eastAsia="ko-KR"/>
        </w:rPr>
        <w:t xml:space="preserve"> forms SS burst set </w:t>
      </w:r>
      <w:r w:rsidR="003913AB">
        <w:rPr>
          <w:lang w:val="en-US" w:eastAsia="ko-KR"/>
        </w:rPr>
        <w:t xml:space="preserve">where up to 64 SS blocks can be packed into a SS burst set for frequency range above 6 GHz. </w:t>
      </w:r>
    </w:p>
    <w:p w14:paraId="6A91621E" w14:textId="77777777" w:rsidR="00C609B7" w:rsidRDefault="00C609B7" w:rsidP="00C609B7">
      <w:pPr>
        <w:keepNext/>
        <w:spacing w:after="100" w:afterAutospacing="1"/>
      </w:pPr>
      <w:r>
        <w:object w:dxaOrig="10981" w:dyaOrig="2790" w14:anchorId="2769B7AC">
          <v:shape id="_x0000_i1026" type="#_x0000_t75" style="width:498.55pt;height:116.15pt" o:ole="">
            <v:imagedata r:id="rId10" o:title="" cropbottom="5291f"/>
          </v:shape>
          <o:OLEObject Type="Embed" ProgID="Visio.Drawing.15" ShapeID="_x0000_i1026" DrawAspect="Content" ObjectID="_1595420454" r:id="rId11"/>
        </w:object>
      </w:r>
    </w:p>
    <w:p w14:paraId="73645E2E" w14:textId="6C68F95E" w:rsidR="00C609B7" w:rsidRDefault="00C609B7" w:rsidP="00C609B7">
      <w:pPr>
        <w:pStyle w:val="ad"/>
        <w:jc w:val="center"/>
        <w:rPr>
          <w:lang w:val="en-US" w:eastAsia="ko-KR"/>
        </w:rPr>
      </w:pPr>
      <w:bookmarkStart w:id="3" w:name="_Ref521195948"/>
      <w:r>
        <w:t xml:space="preserve">Figure </w:t>
      </w:r>
      <w:r>
        <w:fldChar w:fldCharType="begin"/>
      </w:r>
      <w:r>
        <w:instrText xml:space="preserve"> SEQ Figure \* ARABIC </w:instrText>
      </w:r>
      <w:r>
        <w:fldChar w:fldCharType="separate"/>
      </w:r>
      <w:r w:rsidR="00CF0A01">
        <w:rPr>
          <w:noProof/>
        </w:rPr>
        <w:t>2</w:t>
      </w:r>
      <w:r>
        <w:fldChar w:fldCharType="end"/>
      </w:r>
      <w:bookmarkEnd w:id="3"/>
      <w:r>
        <w:t>. SS transmission structure</w:t>
      </w:r>
    </w:p>
    <w:p w14:paraId="088B3FB5" w14:textId="3A68FCBA" w:rsidR="00007FAB" w:rsidRDefault="007B5B25" w:rsidP="00007FAB">
      <w:pPr>
        <w:spacing w:after="180" w:line="336" w:lineRule="auto"/>
        <w:rPr>
          <w:lang w:eastAsia="ko-KR"/>
        </w:rPr>
      </w:pPr>
      <w:r>
        <w:rPr>
          <w:b/>
          <w:lang w:eastAsia="ko-KR"/>
        </w:rPr>
        <w:t>Observation</w:t>
      </w:r>
      <w:r w:rsidR="00007FAB">
        <w:rPr>
          <w:b/>
          <w:lang w:eastAsia="ko-KR"/>
        </w:rPr>
        <w:t xml:space="preserve"> </w:t>
      </w:r>
      <w:r w:rsidR="006A6C1D">
        <w:rPr>
          <w:b/>
          <w:lang w:eastAsia="ko-KR"/>
        </w:rPr>
        <w:t>2</w:t>
      </w:r>
      <w:r w:rsidR="00007FAB" w:rsidRPr="0021114B">
        <w:rPr>
          <w:lang w:eastAsia="ko-KR"/>
        </w:rPr>
        <w:t>:</w:t>
      </w:r>
      <w:r w:rsidR="00007FAB">
        <w:rPr>
          <w:b/>
          <w:lang w:eastAsia="ko-KR"/>
        </w:rPr>
        <w:t xml:space="preserve"> </w:t>
      </w:r>
      <w:r w:rsidR="004165D1">
        <w:rPr>
          <w:lang w:eastAsia="ko-KR"/>
        </w:rPr>
        <w:t xml:space="preserve">NR supports </w:t>
      </w:r>
      <w:r w:rsidR="00EF7414">
        <w:rPr>
          <w:lang w:eastAsia="ko-KR"/>
        </w:rPr>
        <w:t xml:space="preserve">a </w:t>
      </w:r>
      <w:r>
        <w:rPr>
          <w:lang w:eastAsia="ko-KR"/>
        </w:rPr>
        <w:t>repetitive transmission of SS block</w:t>
      </w:r>
      <w:r w:rsidR="00EF7414">
        <w:rPr>
          <w:lang w:eastAsia="ko-KR"/>
        </w:rPr>
        <w:t>s</w:t>
      </w:r>
      <w:r>
        <w:rPr>
          <w:lang w:eastAsia="ko-KR"/>
        </w:rPr>
        <w:t xml:space="preserve"> to enable multi-beam cell search operation.</w:t>
      </w:r>
    </w:p>
    <w:p w14:paraId="7F9EAF30" w14:textId="4F73AF8D" w:rsidR="00CE7ABF" w:rsidRDefault="006A534C" w:rsidP="00CE7ABF">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NR sidelink synchronization</w:t>
      </w:r>
    </w:p>
    <w:p w14:paraId="6E8EF345" w14:textId="74A1489A"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mmWave frequency bands such as around 30 GH and/or 63 GHz for the V2I, V2V, V2P links both for urban grid and highway scenarios </w:t>
      </w:r>
      <w:r>
        <w:rPr>
          <w:lang w:val="en-US" w:eastAsia="ko-KR"/>
        </w:rPr>
        <w:fldChar w:fldCharType="begin"/>
      </w:r>
      <w:r>
        <w:rPr>
          <w:lang w:val="en-US" w:eastAsia="ko-KR"/>
        </w:rPr>
        <w:instrText xml:space="preserve"> REF _Ref521194627 \n \h </w:instrText>
      </w:r>
      <w:r>
        <w:rPr>
          <w:lang w:val="en-US" w:eastAsia="ko-KR"/>
        </w:rPr>
      </w:r>
      <w:r>
        <w:rPr>
          <w:lang w:val="en-US" w:eastAsia="ko-KR"/>
        </w:rPr>
        <w:fldChar w:fldCharType="separate"/>
      </w:r>
      <w:r>
        <w:rPr>
          <w:lang w:val="en-US" w:eastAsia="ko-KR"/>
        </w:rPr>
        <w:t>[3]</w:t>
      </w:r>
      <w:r>
        <w:rPr>
          <w:lang w:val="en-US" w:eastAsia="ko-KR"/>
        </w:rPr>
        <w:fldChar w:fldCharType="end"/>
      </w:r>
      <w:r>
        <w:rPr>
          <w:lang w:val="en-US" w:eastAsia="ko-KR"/>
        </w:rPr>
        <w:t>.</w:t>
      </w:r>
      <w:r w:rsidR="005B002F">
        <w:rPr>
          <w:lang w:val="en-US" w:eastAsia="ko-KR"/>
        </w:rPr>
        <w:t xml:space="preserve"> It is well known that such mmWave signals are prone to blockage. Hence, the NR V2X study will consider vehicle-induced blockage, namely NLOSv as well as LOS cases </w:t>
      </w:r>
      <w:r w:rsidR="005B002F">
        <w:rPr>
          <w:lang w:val="en-US" w:eastAsia="ko-KR"/>
        </w:rPr>
        <w:fldChar w:fldCharType="begin"/>
      </w:r>
      <w:r w:rsidR="005B002F">
        <w:rPr>
          <w:lang w:val="en-US" w:eastAsia="ko-KR"/>
        </w:rPr>
        <w:instrText xml:space="preserve"> REF _Ref521194627 \n \h </w:instrText>
      </w:r>
      <w:r w:rsidR="005B002F">
        <w:rPr>
          <w:lang w:val="en-US" w:eastAsia="ko-KR"/>
        </w:rPr>
      </w:r>
      <w:r w:rsidR="005B002F">
        <w:rPr>
          <w:lang w:val="en-US" w:eastAsia="ko-KR"/>
        </w:rPr>
        <w:fldChar w:fldCharType="separate"/>
      </w:r>
      <w:r w:rsidR="005B002F">
        <w:rPr>
          <w:lang w:val="en-US" w:eastAsia="ko-KR"/>
        </w:rPr>
        <w:t>[3]</w:t>
      </w:r>
      <w:r w:rsidR="005B002F">
        <w:rPr>
          <w:lang w:val="en-US" w:eastAsia="ko-KR"/>
        </w:rPr>
        <w:fldChar w:fldCharType="end"/>
      </w:r>
      <w:r w:rsidR="005B002F">
        <w:rPr>
          <w:lang w:val="en-US" w:eastAsia="ko-KR"/>
        </w:rPr>
        <w:t>.</w:t>
      </w:r>
      <w:r w:rsidR="00A41B7D">
        <w:rPr>
          <w:lang w:val="en-US" w:eastAsia="ko-KR"/>
        </w:rPr>
        <w:t xml:space="preserve"> If a vehicle UE is not able to obtain timing reference from the gNodeB due to such blockage, nearby in-coverage vehicle UEs can assist synchronization by sending sidelink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 xml:space="preserve">the sidelink synchronization signal block (SL-SSB),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A23D0E">
        <w:t xml:space="preserve">Figure </w:t>
      </w:r>
      <w:r w:rsidR="00A23D0E">
        <w:rPr>
          <w:noProof/>
        </w:rPr>
        <w:t>3</w:t>
      </w:r>
      <w:r w:rsidR="00A23D0E">
        <w:rPr>
          <w:lang w:val="en-US" w:eastAsia="ko-KR"/>
        </w:rPr>
        <w:fldChar w:fldCharType="end"/>
      </w:r>
      <w:r w:rsidR="00A41B7D">
        <w:rPr>
          <w:lang w:val="en-US" w:eastAsia="ko-KR"/>
        </w:rPr>
        <w:t xml:space="preserve">. </w:t>
      </w:r>
    </w:p>
    <w:p w14:paraId="780E0D52" w14:textId="1F6A04FB" w:rsidR="00FF3CAC" w:rsidRDefault="00FF3CAC" w:rsidP="00FF3CAC">
      <w:pPr>
        <w:spacing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 xml:space="preserve">NR </w:t>
      </w:r>
      <w:r>
        <w:rPr>
          <w:lang w:eastAsia="ko-KR"/>
        </w:rPr>
        <w:t xml:space="preserve">V2X should reuse the </w:t>
      </w:r>
      <w:r w:rsidR="008F2CBA">
        <w:rPr>
          <w:lang w:eastAsia="ko-KR"/>
        </w:rPr>
        <w:t xml:space="preserve">downlink </w:t>
      </w:r>
      <w:r>
        <w:rPr>
          <w:lang w:eastAsia="ko-KR"/>
        </w:rPr>
        <w:t xml:space="preserve">SS block structure for the sidelink synchronization signals and </w:t>
      </w:r>
      <w:r w:rsidR="008F2CBA">
        <w:rPr>
          <w:lang w:eastAsia="ko-KR"/>
        </w:rPr>
        <w:t xml:space="preserve">sidelink </w:t>
      </w:r>
      <w:r>
        <w:rPr>
          <w:lang w:eastAsia="ko-KR"/>
        </w:rPr>
        <w:t>broadcast channel transmission.</w:t>
      </w:r>
    </w:p>
    <w:p w14:paraId="3FF2F74C" w14:textId="77777777" w:rsidR="00A23D0E" w:rsidRDefault="00A23D0E" w:rsidP="00A23D0E">
      <w:pPr>
        <w:keepNext/>
        <w:spacing w:after="180" w:line="336" w:lineRule="auto"/>
      </w:pPr>
      <w:r>
        <w:rPr>
          <w:noProof/>
          <w:lang w:val="en-US" w:eastAsia="ko-KR"/>
        </w:rPr>
        <w:drawing>
          <wp:inline distT="0" distB="0" distL="0" distR="0" wp14:anchorId="148559AB" wp14:editId="4A08B838">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2676" cy="2578730"/>
                    </a:xfrm>
                    <a:prstGeom prst="rect">
                      <a:avLst/>
                    </a:prstGeom>
                    <a:noFill/>
                  </pic:spPr>
                </pic:pic>
              </a:graphicData>
            </a:graphic>
          </wp:inline>
        </w:drawing>
      </w:r>
    </w:p>
    <w:p w14:paraId="4B3834B6" w14:textId="078EAABE" w:rsidR="00B63F66" w:rsidRDefault="00A23D0E" w:rsidP="00A23D0E">
      <w:pPr>
        <w:pStyle w:val="ad"/>
        <w:jc w:val="center"/>
        <w:rPr>
          <w:lang w:val="en-US" w:eastAsia="ko-KR"/>
        </w:rPr>
      </w:pPr>
      <w:bookmarkStart w:id="4" w:name="_Ref521197213"/>
      <w:r>
        <w:t xml:space="preserve">Figure </w:t>
      </w:r>
      <w:r>
        <w:fldChar w:fldCharType="begin"/>
      </w:r>
      <w:r>
        <w:instrText xml:space="preserve"> SEQ Figure \* ARABIC </w:instrText>
      </w:r>
      <w:r>
        <w:fldChar w:fldCharType="separate"/>
      </w:r>
      <w:r w:rsidR="00CF0A01">
        <w:rPr>
          <w:noProof/>
        </w:rPr>
        <w:t>3</w:t>
      </w:r>
      <w:r>
        <w:fldChar w:fldCharType="end"/>
      </w:r>
      <w:bookmarkEnd w:id="4"/>
      <w:r>
        <w:t>. SS block structure for sidelink synchronization</w:t>
      </w:r>
    </w:p>
    <w:p w14:paraId="22373015" w14:textId="58D62427" w:rsidR="00540225" w:rsidRPr="00FF3CAC" w:rsidRDefault="00FF3CAC" w:rsidP="00A23D0E">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is needed. 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w:t>
      </w:r>
      <w:r w:rsidR="001149D0">
        <w:rPr>
          <w:lang w:eastAsia="ko-KR"/>
        </w:rPr>
        <w:t xml:space="preserve">The TDM scheme allows the transmission of SL-SSB at the same frequency resources with DL-SSB. In this case, the UEs only need to search the common frequency region for the downlink and sidelink synchronizations. However, it will not be possible to configure short SSB burst periodicity such as 5 ms, leading to collision between DL-SSB and SL-SSB. The FDM scheme allocates DL-SSB and SL-SSB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4CBE0B23" w:rsidR="00CF0A01" w:rsidRDefault="007C5178" w:rsidP="00CF0A01">
      <w:pPr>
        <w:keepNext/>
        <w:spacing w:line="336" w:lineRule="auto"/>
        <w:jc w:val="center"/>
      </w:pPr>
      <w:r>
        <w:object w:dxaOrig="10606" w:dyaOrig="10215" w14:anchorId="5CC5C935">
          <v:shape id="_x0000_i1027" type="#_x0000_t75" style="width:471.4pt;height:450.35pt" o:ole="">
            <v:imagedata r:id="rId13" o:title="" croptop="928f" cropbottom="3152f" cropleft="3576f"/>
          </v:shape>
          <o:OLEObject Type="Embed" ProgID="Visio.Drawing.15" ShapeID="_x0000_i1027" DrawAspect="Content" ObjectID="_1595420455" r:id="rId14"/>
        </w:object>
      </w:r>
    </w:p>
    <w:p w14:paraId="010CE794" w14:textId="46831081" w:rsidR="00CF0A01" w:rsidRDefault="00CF0A01" w:rsidP="00CF0A01">
      <w:pPr>
        <w:pStyle w:val="ad"/>
        <w:jc w:val="center"/>
        <w:rPr>
          <w:lang w:eastAsia="ko-KR"/>
        </w:rPr>
      </w:pPr>
      <w:bookmarkStart w:id="5" w:name="_Ref521198963"/>
      <w:r>
        <w:t xml:space="preserve">Figure </w:t>
      </w:r>
      <w:r>
        <w:fldChar w:fldCharType="begin"/>
      </w:r>
      <w:r>
        <w:instrText xml:space="preserve"> SEQ Figure \* ARABIC </w:instrText>
      </w:r>
      <w:r>
        <w:fldChar w:fldCharType="separate"/>
      </w:r>
      <w:r>
        <w:rPr>
          <w:noProof/>
        </w:rPr>
        <w:t>4</w:t>
      </w:r>
      <w:r>
        <w:fldChar w:fldCharType="end"/>
      </w:r>
      <w:bookmarkEnd w:id="5"/>
      <w:r>
        <w:t>. Multiplexing of DL-SSB and SL-SSB: a) TDM; b) FDM; c) FDM with time-domain offset</w:t>
      </w:r>
    </w:p>
    <w:p w14:paraId="5F42962B" w14:textId="28B2FEA2" w:rsidR="00A23D0E" w:rsidRDefault="00A23D0E" w:rsidP="00A23D0E">
      <w:pPr>
        <w:spacing w:line="336" w:lineRule="auto"/>
        <w:rPr>
          <w:lang w:eastAsia="ko-KR"/>
        </w:rPr>
      </w:pPr>
      <w:r>
        <w:rPr>
          <w:b/>
          <w:lang w:eastAsia="ko-KR"/>
        </w:rPr>
        <w:t xml:space="preserve">Proposal </w:t>
      </w:r>
      <w:r w:rsidR="00717984">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2B51A3B4"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6226738D" w14:textId="77777777" w:rsidR="002F69F0" w:rsidRPr="001F0ECA" w:rsidRDefault="002F69F0" w:rsidP="002F69F0">
      <w:pPr>
        <w:spacing w:after="180" w:line="336" w:lineRule="auto"/>
        <w:rPr>
          <w:lang w:eastAsia="ko-KR"/>
        </w:rPr>
      </w:pPr>
      <w:r>
        <w:rPr>
          <w:b/>
          <w:lang w:eastAsia="ko-KR"/>
        </w:rPr>
        <w:lastRenderedPageBreak/>
        <w:t xml:space="preserve">Observation </w:t>
      </w:r>
      <w:r>
        <w:rPr>
          <w:rFonts w:hint="eastAsia"/>
          <w:b/>
          <w:lang w:eastAsia="ko-KR"/>
        </w:rPr>
        <w:t>1</w:t>
      </w:r>
      <w:r w:rsidRPr="0021114B">
        <w:rPr>
          <w:lang w:eastAsia="ko-KR"/>
        </w:rPr>
        <w:t>:</w:t>
      </w:r>
      <w:r>
        <w:rPr>
          <w:b/>
          <w:lang w:eastAsia="ko-KR"/>
        </w:rPr>
        <w:t xml:space="preserve"> </w:t>
      </w:r>
      <w:r>
        <w:rPr>
          <w:lang w:eastAsia="ko-KR"/>
        </w:rPr>
        <w:t>In LTE, the sidelink synchronization mechanism utilizes sidelink synchronization signals of PSLSS and SSLSS and sidelink broadcast channel of PSBCH.</w:t>
      </w:r>
    </w:p>
    <w:p w14:paraId="7527D903" w14:textId="77777777" w:rsidR="002F69F0" w:rsidRDefault="002F69F0" w:rsidP="002F69F0">
      <w:pPr>
        <w:spacing w:after="180" w:line="336" w:lineRule="auto"/>
        <w:rPr>
          <w:lang w:eastAsia="ko-KR"/>
        </w:rPr>
      </w:pPr>
      <w:r>
        <w:rPr>
          <w:b/>
          <w:lang w:eastAsia="ko-KR"/>
        </w:rPr>
        <w:t>Observation 2</w:t>
      </w:r>
      <w:r w:rsidRPr="0021114B">
        <w:rPr>
          <w:lang w:eastAsia="ko-KR"/>
        </w:rPr>
        <w:t>:</w:t>
      </w:r>
      <w:r>
        <w:rPr>
          <w:b/>
          <w:lang w:eastAsia="ko-KR"/>
        </w:rPr>
        <w:t xml:space="preserve"> </w:t>
      </w:r>
      <w:r>
        <w:rPr>
          <w:lang w:eastAsia="ko-KR"/>
        </w:rPr>
        <w:t>NR supports a repetitive transmission of SS blocks to enable multi-beam cell search operation.</w:t>
      </w:r>
    </w:p>
    <w:p w14:paraId="07D249EC" w14:textId="77777777" w:rsidR="002F69F0" w:rsidRDefault="002F69F0" w:rsidP="002F69F0">
      <w:pPr>
        <w:spacing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 xml:space="preserve">NR </w:t>
      </w:r>
      <w:r>
        <w:rPr>
          <w:lang w:eastAsia="ko-KR"/>
        </w:rPr>
        <w:t>V2X should reuse the downlink SS block structure for the sidelink synchronization signals and sidelink broadcast channel transmission.</w:t>
      </w:r>
    </w:p>
    <w:p w14:paraId="7B57F741" w14:textId="77777777" w:rsidR="00682CEB" w:rsidRDefault="00682CEB" w:rsidP="00682CEB">
      <w:pPr>
        <w:spacing w:line="336" w:lineRule="auto"/>
        <w:rPr>
          <w:lang w:eastAsia="ko-KR"/>
        </w:rPr>
      </w:pPr>
      <w:r>
        <w:rPr>
          <w:b/>
          <w:lang w:eastAsia="ko-KR"/>
        </w:rPr>
        <w:t>Proposal 2</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8B56093" w14:textId="77777777" w:rsidR="00682CEB" w:rsidRDefault="00682CEB" w:rsidP="00682CEB">
      <w:pPr>
        <w:pStyle w:val="afb"/>
        <w:numPr>
          <w:ilvl w:val="1"/>
          <w:numId w:val="16"/>
        </w:numPr>
        <w:spacing w:after="100" w:afterAutospacing="1" w:line="336" w:lineRule="auto"/>
        <w:ind w:leftChars="0" w:left="1202" w:hanging="403"/>
        <w:rPr>
          <w:lang w:eastAsia="ko-KR"/>
        </w:rPr>
      </w:pPr>
      <w:r>
        <w:rPr>
          <w:lang w:eastAsia="ko-KR"/>
        </w:rPr>
        <w:t>TDM</w:t>
      </w:r>
    </w:p>
    <w:p w14:paraId="6146D578" w14:textId="77777777" w:rsidR="00682CEB" w:rsidRDefault="00682CEB" w:rsidP="00682CEB">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75785659" w14:textId="77777777" w:rsidR="00682CEB" w:rsidRDefault="00682CEB" w:rsidP="00682CEB">
      <w:pPr>
        <w:pStyle w:val="afb"/>
        <w:numPr>
          <w:ilvl w:val="1"/>
          <w:numId w:val="16"/>
        </w:numPr>
        <w:spacing w:after="100" w:afterAutospacing="1" w:line="336" w:lineRule="auto"/>
        <w:ind w:leftChars="0" w:left="1202" w:hanging="403"/>
        <w:rPr>
          <w:lang w:eastAsia="ko-KR"/>
        </w:rPr>
      </w:pPr>
      <w:r>
        <w:rPr>
          <w:lang w:eastAsia="ko-KR"/>
        </w:rPr>
        <w:t>FDM with time-domain offset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2A92E453" w:rsidR="00277863" w:rsidRDefault="000F348F" w:rsidP="003D6E0B">
      <w:pPr>
        <w:numPr>
          <w:ilvl w:val="0"/>
          <w:numId w:val="6"/>
        </w:numPr>
        <w:tabs>
          <w:tab w:val="left" w:pos="810"/>
        </w:tabs>
        <w:spacing w:after="180"/>
        <w:ind w:left="440" w:hangingChars="200" w:hanging="440"/>
        <w:contextualSpacing/>
        <w:rPr>
          <w:lang w:eastAsia="zh-CN"/>
        </w:rPr>
      </w:pPr>
      <w:bookmarkStart w:id="6" w:name="_Ref458777829"/>
      <w:bookmarkStart w:id="7" w:name="_Ref447206028"/>
      <w:r>
        <w:rPr>
          <w:lang w:eastAsia="zh-CN"/>
        </w:rPr>
        <w:t>RP-181429, “</w:t>
      </w:r>
      <w:r>
        <w:rPr>
          <w:rFonts w:hint="eastAsia"/>
          <w:lang w:eastAsia="ko-KR"/>
        </w:rPr>
        <w:t>N</w:t>
      </w:r>
      <w:r>
        <w:rPr>
          <w:lang w:eastAsia="ko-KR"/>
        </w:rPr>
        <w:t>ew SID: Study on NR V2X,</w:t>
      </w:r>
      <w:r>
        <w:rPr>
          <w:lang w:eastAsia="zh-CN"/>
        </w:rPr>
        <w:t>”</w:t>
      </w:r>
      <w:r w:rsidR="00277863">
        <w:rPr>
          <w:lang w:eastAsia="zh-CN"/>
        </w:rPr>
        <w:t xml:space="preserve"> </w:t>
      </w:r>
      <w:r>
        <w:rPr>
          <w:lang w:eastAsia="ko-KR"/>
        </w:rPr>
        <w:t>Jun</w:t>
      </w:r>
      <w:r w:rsidR="006F6307">
        <w:rPr>
          <w:lang w:eastAsia="ko-KR"/>
        </w:rPr>
        <w:t>.</w:t>
      </w:r>
      <w:r>
        <w:rPr>
          <w:lang w:eastAsia="zh-CN"/>
        </w:rPr>
        <w:t xml:space="preserve"> 2018</w:t>
      </w:r>
      <w:r w:rsidR="00277863">
        <w:rPr>
          <w:lang w:eastAsia="zh-CN"/>
        </w:rPr>
        <w:t>.</w:t>
      </w:r>
    </w:p>
    <w:p w14:paraId="212BDE6E" w14:textId="08D68D7F" w:rsidR="00EA1174" w:rsidRDefault="00EA1174" w:rsidP="003D6E0B">
      <w:pPr>
        <w:numPr>
          <w:ilvl w:val="0"/>
          <w:numId w:val="6"/>
        </w:numPr>
        <w:tabs>
          <w:tab w:val="left" w:pos="810"/>
        </w:tabs>
        <w:spacing w:after="180"/>
        <w:ind w:left="440" w:hangingChars="200" w:hanging="440"/>
        <w:contextualSpacing/>
        <w:rPr>
          <w:lang w:eastAsia="zh-CN"/>
        </w:rPr>
      </w:pPr>
      <w:bookmarkStart w:id="8" w:name="_Ref498705866"/>
      <w:r>
        <w:rPr>
          <w:rFonts w:hint="eastAsia"/>
          <w:lang w:eastAsia="zh-CN"/>
        </w:rPr>
        <w:t>3GPP Chairman</w:t>
      </w:r>
      <w:r>
        <w:rPr>
          <w:lang w:eastAsia="zh-CN"/>
        </w:rPr>
        <w:t>’s notes RAN1</w:t>
      </w:r>
      <w:r w:rsidR="0013048D">
        <w:rPr>
          <w:lang w:eastAsia="zh-CN"/>
        </w:rPr>
        <w:t>#93</w:t>
      </w:r>
      <w:r>
        <w:rPr>
          <w:rFonts w:hint="eastAsia"/>
          <w:lang w:eastAsia="ko-KR"/>
        </w:rPr>
        <w:t>,</w:t>
      </w:r>
      <w:r>
        <w:rPr>
          <w:lang w:eastAsia="zh-CN"/>
        </w:rPr>
        <w:t xml:space="preserve"> </w:t>
      </w:r>
      <w:r w:rsidR="0013048D">
        <w:rPr>
          <w:lang w:eastAsia="ko-KR"/>
        </w:rPr>
        <w:t>May</w:t>
      </w:r>
      <w:r>
        <w:rPr>
          <w:lang w:eastAsia="zh-CN"/>
        </w:rPr>
        <w:t xml:space="preserve"> 201</w:t>
      </w:r>
      <w:r w:rsidR="0013048D">
        <w:rPr>
          <w:lang w:eastAsia="zh-CN"/>
        </w:rPr>
        <w:t>8</w:t>
      </w:r>
      <w:r>
        <w:rPr>
          <w:lang w:eastAsia="zh-CN"/>
        </w:rPr>
        <w:t>.</w:t>
      </w:r>
      <w:bookmarkEnd w:id="8"/>
    </w:p>
    <w:p w14:paraId="1A88F7CA" w14:textId="692B1571" w:rsidR="004D5B78" w:rsidRPr="007B5B25" w:rsidRDefault="007B5B25" w:rsidP="004D5B78">
      <w:pPr>
        <w:numPr>
          <w:ilvl w:val="0"/>
          <w:numId w:val="6"/>
        </w:numPr>
        <w:tabs>
          <w:tab w:val="left" w:pos="810"/>
        </w:tabs>
        <w:spacing w:after="180"/>
        <w:contextualSpacing/>
        <w:rPr>
          <w:lang w:eastAsia="zh-CN"/>
        </w:rPr>
      </w:pPr>
      <w:bookmarkStart w:id="9" w:name="_Ref521194627"/>
      <w:r>
        <w:rPr>
          <w:lang w:eastAsia="zh-CN"/>
        </w:rPr>
        <w:t>3GPP TR 37.885, “</w:t>
      </w:r>
      <w:r w:rsidRPr="007B5B25">
        <w:rPr>
          <w:lang w:eastAsia="zh-CN"/>
        </w:rPr>
        <w:t>Study on evaluation methodology of new Vehicle-to-Everything V2X use cases for LTE and NR</w:t>
      </w:r>
      <w:r>
        <w:rPr>
          <w:lang w:eastAsia="zh-CN"/>
        </w:rPr>
        <w:t>,” V 15.0.0, Jun. 2018.</w:t>
      </w:r>
      <w:bookmarkEnd w:id="6"/>
      <w:bookmarkEnd w:id="7"/>
      <w:bookmarkEnd w:id="9"/>
    </w:p>
    <w:sectPr w:rsidR="004D5B78" w:rsidRPr="007B5B25"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D366D" w14:textId="77777777" w:rsidR="00AC1963" w:rsidRDefault="00AC1963">
      <w:r>
        <w:separator/>
      </w:r>
    </w:p>
  </w:endnote>
  <w:endnote w:type="continuationSeparator" w:id="0">
    <w:p w14:paraId="45125ACE" w14:textId="77777777" w:rsidR="00AC1963" w:rsidRDefault="00AC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33919325"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C5178">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C5178">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76D93" w14:textId="77777777" w:rsidR="00AC1963" w:rsidRDefault="00AC1963">
      <w:r>
        <w:separator/>
      </w:r>
    </w:p>
  </w:footnote>
  <w:footnote w:type="continuationSeparator" w:id="0">
    <w:p w14:paraId="7EA33C5C" w14:textId="77777777" w:rsidR="00AC1963" w:rsidRDefault="00AC19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18"/>
  </w:num>
  <w:num w:numId="5">
    <w:abstractNumId w:val="1"/>
  </w:num>
  <w:num w:numId="6">
    <w:abstractNumId w:val="4"/>
  </w:num>
  <w:num w:numId="7">
    <w:abstractNumId w:val="10"/>
  </w:num>
  <w:num w:numId="8">
    <w:abstractNumId w:val="17"/>
  </w:num>
  <w:num w:numId="9">
    <w:abstractNumId w:val="3"/>
  </w:num>
  <w:num w:numId="10">
    <w:abstractNumId w:val="6"/>
  </w:num>
  <w:num w:numId="11">
    <w:abstractNumId w:val="7"/>
  </w:num>
  <w:num w:numId="12">
    <w:abstractNumId w:val="11"/>
  </w:num>
  <w:num w:numId="13">
    <w:abstractNumId w:val="12"/>
  </w:num>
  <w:num w:numId="14">
    <w:abstractNumId w:val="13"/>
  </w:num>
  <w:num w:numId="15">
    <w:abstractNumId w:val="19"/>
  </w:num>
  <w:num w:numId="16">
    <w:abstractNumId w:val="2"/>
  </w:num>
  <w:num w:numId="17">
    <w:abstractNumId w:val="9"/>
  </w:num>
  <w:num w:numId="18">
    <w:abstractNumId w:val="8"/>
  </w:num>
  <w:num w:numId="19">
    <w:abstractNumId w:val="16"/>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2F8CD97-9B60-452D-9F11-3AB145D01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package" Target="embeddings/Microsoft_Visio_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F18BF-CB50-433B-974A-A6407318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4384</TotalTime>
  <Pages>5</Pages>
  <Words>1128</Words>
  <Characters>6434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187</cp:revision>
  <cp:lastPrinted>2014-05-09T11:56:00Z</cp:lastPrinted>
  <dcterms:created xsi:type="dcterms:W3CDTF">2017-03-22T02:31:00Z</dcterms:created>
  <dcterms:modified xsi:type="dcterms:W3CDTF">2018-08-10T06:34:00Z</dcterms:modified>
  <cp:category/>
</cp:coreProperties>
</file>